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97EAA" w:rsidRPr="00263A69" w14:paraId="3CE332B6" w14:textId="77777777" w:rsidTr="00C97EAA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C6CE3F" w14:textId="77777777" w:rsidR="00C97EAA" w:rsidRPr="00263A69" w:rsidRDefault="00C97EAA" w:rsidP="00C97EA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bookmarkStart w:id="0" w:name="1"/>
            <w:r w:rsidRPr="00263A69">
              <w:rPr>
                <w:rFonts w:asciiTheme="majorHAnsi" w:eastAsiaTheme="majorHAnsi" w:hAnsiTheme="majorHAnsi" w:cs="Arial" w:hint="eastAsia"/>
                <w:b/>
                <w:bCs/>
                <w:kern w:val="0"/>
                <w:szCs w:val="20"/>
              </w:rPr>
              <w:t>페이지 1</w:t>
            </w:r>
            <w:bookmarkEnd w:id="0"/>
          </w:p>
        </w:tc>
      </w:tr>
    </w:tbl>
    <w:p w14:paraId="731D3233" w14:textId="77777777" w:rsidR="00C97EAA" w:rsidRPr="00450904" w:rsidRDefault="00C97EAA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페르난도 </w:t>
      </w:r>
      <w:proofErr w:type="spellStart"/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>쉬브</w:t>
      </w:r>
      <w:proofErr w:type="spellEnd"/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박사</w:t>
      </w:r>
    </w:p>
    <w:p w14:paraId="4C554C06" w14:textId="581C722D" w:rsidR="0043454D" w:rsidRPr="00450904" w:rsidRDefault="00450904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 w:hint="eastAsia"/>
          <w:color w:val="231F20"/>
          <w:kern w:val="0"/>
          <w:szCs w:val="20"/>
        </w:rPr>
      </w:pPr>
      <w:proofErr w:type="spellStart"/>
      <w:r w:rsidRPr="00450904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G</w:t>
      </w:r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>alam</w:t>
      </w:r>
      <w:proofErr w:type="spellEnd"/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r w:rsidRPr="00450904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L</w:t>
      </w:r>
      <w:r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>td.</w:t>
      </w:r>
    </w:p>
    <w:p w14:paraId="7F5263F5" w14:textId="70F24793" w:rsidR="0043454D" w:rsidRPr="00450904" w:rsidRDefault="0043454D" w:rsidP="0043454D">
      <w:pPr>
        <w:pStyle w:val="CM1"/>
        <w:rPr>
          <w:rFonts w:asciiTheme="majorHAnsi" w:eastAsiaTheme="majorHAnsi" w:hAnsiTheme="majorHAnsi" w:cs="Georgia"/>
          <w:color w:val="000000"/>
          <w:sz w:val="20"/>
          <w:szCs w:val="20"/>
        </w:rPr>
      </w:pPr>
      <w:r w:rsidRPr="00450904">
        <w:rPr>
          <w:rFonts w:asciiTheme="majorHAnsi" w:eastAsiaTheme="majorHAnsi" w:hAnsiTheme="majorHAnsi" w:cs="Georgia"/>
          <w:color w:val="000000"/>
          <w:sz w:val="20"/>
          <w:szCs w:val="20"/>
        </w:rPr>
        <w:t xml:space="preserve">Kibbutz </w:t>
      </w:r>
      <w:proofErr w:type="spellStart"/>
      <w:r w:rsidRPr="00450904">
        <w:rPr>
          <w:rFonts w:asciiTheme="majorHAnsi" w:eastAsiaTheme="majorHAnsi" w:hAnsiTheme="majorHAnsi" w:cs="Georgia"/>
          <w:color w:val="000000"/>
          <w:sz w:val="20"/>
          <w:szCs w:val="20"/>
        </w:rPr>
        <w:t>Maanit</w:t>
      </w:r>
      <w:proofErr w:type="spellEnd"/>
      <w:r w:rsidRPr="00450904">
        <w:rPr>
          <w:rFonts w:asciiTheme="majorHAnsi" w:eastAsiaTheme="majorHAnsi" w:hAnsiTheme="majorHAnsi" w:cs="Georgia"/>
          <w:color w:val="000000"/>
          <w:sz w:val="20"/>
          <w:szCs w:val="20"/>
        </w:rPr>
        <w:t xml:space="preserve"> </w:t>
      </w:r>
    </w:p>
    <w:p w14:paraId="4E3AFCA3" w14:textId="16D1AFC8" w:rsidR="00C97EAA" w:rsidRPr="00450904" w:rsidRDefault="0043454D" w:rsidP="0043454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450904">
        <w:rPr>
          <w:rFonts w:asciiTheme="majorHAnsi" w:eastAsiaTheme="majorHAnsi" w:hAnsiTheme="majorHAnsi" w:cs="Georgia"/>
          <w:color w:val="000000"/>
          <w:szCs w:val="20"/>
        </w:rPr>
        <w:t xml:space="preserve">M.P. Menashe </w:t>
      </w:r>
      <w:r w:rsidR="00C97EAA" w:rsidRPr="00450904">
        <w:rPr>
          <w:rFonts w:asciiTheme="majorHAnsi" w:eastAsiaTheme="majorHAnsi" w:hAnsiTheme="majorHAnsi" w:cs="Times"/>
          <w:color w:val="231F20"/>
          <w:kern w:val="0"/>
          <w:szCs w:val="20"/>
        </w:rPr>
        <w:t>3785500, 이스라엘</w:t>
      </w:r>
    </w:p>
    <w:p w14:paraId="47FACFAF" w14:textId="777C194B" w:rsidR="00C97EAA" w:rsidRPr="00450904" w:rsidRDefault="00263A69" w:rsidP="00450904">
      <w:pPr>
        <w:widowControl/>
        <w:wordWrap/>
        <w:autoSpaceDE/>
        <w:autoSpaceDN/>
        <w:spacing w:after="0" w:line="240" w:lineRule="auto"/>
        <w:jc w:val="center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450904">
        <w:rPr>
          <w:rFonts w:asciiTheme="majorHAnsi" w:eastAsiaTheme="majorHAnsi" w:hAnsiTheme="majorHAnsi" w:cs="Times" w:hint="eastAsia"/>
          <w:b/>
          <w:bCs/>
          <w:color w:val="231F20"/>
          <w:kern w:val="0"/>
          <w:szCs w:val="20"/>
        </w:rPr>
        <w:t>회신</w:t>
      </w:r>
      <w:r w:rsidR="00C97EAA" w:rsidRPr="00450904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 : GRAS 통지 번호 GRN 000717</w:t>
      </w:r>
    </w:p>
    <w:p w14:paraId="7BFE3793" w14:textId="2C8358F5" w:rsidR="00C97EAA" w:rsidRPr="00263A69" w:rsidRDefault="0043454D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쉬브</w:t>
      </w:r>
      <w:proofErr w:type="spellEnd"/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박사님께 :</w:t>
      </w:r>
    </w:p>
    <w:p w14:paraId="62A6FBC9" w14:textId="75580B55" w:rsidR="00C97EAA" w:rsidRPr="00263A69" w:rsidRDefault="00C97EAA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식품의약국(FDA)은 </w:t>
      </w:r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GRN 000717</w:t>
      </w:r>
      <w:r w:rsidR="0043454D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의</w:t>
      </w:r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평가를 완료했습니다</w:t>
      </w:r>
      <w:r w:rsidR="0043454D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.</w:t>
      </w:r>
    </w:p>
    <w:p w14:paraId="3B1631C0" w14:textId="56551644" w:rsidR="00C97EAA" w:rsidRPr="00263A69" w:rsidRDefault="0043454D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F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DA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에서는 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201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7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년 7월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3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일에 </w:t>
      </w:r>
      <w:proofErr w:type="spellStart"/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Ltd. (</w:t>
      </w:r>
      <w:proofErr w:type="spellStart"/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)의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요청을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받아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201</w:t>
      </w:r>
      <w:r w:rsidR="00450904">
        <w:rPr>
          <w:rFonts w:asciiTheme="majorHAnsi" w:eastAsiaTheme="majorHAnsi" w:hAnsiTheme="majorHAnsi" w:cs="Times"/>
          <w:color w:val="231F20"/>
          <w:kern w:val="0"/>
          <w:szCs w:val="20"/>
        </w:rPr>
        <w:t>7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년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8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월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15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일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에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평가서를 </w:t>
      </w:r>
      <w:r w:rsidR="00C97EAA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제출했습니다.</w:t>
      </w:r>
    </w:p>
    <w:p w14:paraId="7A250FC3" w14:textId="77777777" w:rsidR="0043454D" w:rsidRPr="00263A69" w:rsidRDefault="0043454D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2017년 10월 20일 및 2017년 10월 25일에 고지 주제의 의도된 용도 및 사용 수준을 명시한 고지 사항이 수정되었습니다. 고지의 주제는 육류, 가금류 및 생선의 대체물을 포함하여 다양한 식품 범주의 일반 식품 성분 및 증량제로 사용하기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위한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단쇄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프락토올리고당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)입니다. 영양 바; 아침 시리얼; 음료 및 주스; 케이크; 치즈; 크림; 과자; 쿠키; 호두 까는 기구; 디저트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토핑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및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충전재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; 하드 캔디; 아이스크림; 유아용 식품; 잼과 젤리; 우유 (acidophilus, 향미 및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무향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, 증발 및 응축);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머핀과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빠른 빵; 소스,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그레이비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및 조미료; 간식 셔벗과 셔벗; 수프; 유아 (12~24 개월) 식품; 및 0.4 내지 6.7 % 수준의 요구르트. </w:t>
      </w:r>
    </w:p>
    <w:p w14:paraId="7CC2F70F" w14:textId="33FFF30E" w:rsidR="0043454D" w:rsidRPr="00507259" w:rsidRDefault="0043454D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BFBFBF" w:themeColor="background1" w:themeShade="BF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본 서류에서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는 과학적 절차를 통해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사용이 GRAS라는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견해를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통지합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니다.</w:t>
      </w:r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r w:rsidR="00B15197"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1,</w:t>
      </w:r>
      <w:r w:rsidR="00E77465"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</w:t>
      </w:r>
      <w:r w:rsidR="00B15197"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2</w:t>
      </w:r>
    </w:p>
    <w:p w14:paraId="223D27AB" w14:textId="30EE95FD" w:rsidR="0043454D" w:rsidRPr="00263A69" w:rsidRDefault="00C97EAA" w:rsidP="0043454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</w:t>
      </w:r>
      <w:r w:rsidR="0043454D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정의와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성</w:t>
      </w:r>
      <w:r w:rsidR="0043454D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분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을 </w:t>
      </w:r>
      <w:r w:rsidR="0043454D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서술하였습니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다. 이 제품은</w:t>
      </w:r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β -2-1 </w:t>
      </w:r>
      <w:proofErr w:type="spellStart"/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글리코시드</w:t>
      </w:r>
      <w:proofErr w:type="spellEnd"/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결합에 의해 수크로스의 과당 단위에 부착된 1개, 2개 또는 3개의 추가 과당 단위와 수크로스로 구성된 </w:t>
      </w:r>
      <w:proofErr w:type="spellStart"/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올리고머의</w:t>
      </w:r>
      <w:proofErr w:type="spellEnd"/>
      <w:r w:rsidR="0043454D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혼합물입니다.</w:t>
      </w:r>
    </w:p>
    <w:p w14:paraId="41FBE574" w14:textId="2824A5CD" w:rsidR="00C97EAA" w:rsidRDefault="00C97EAA" w:rsidP="00B15197">
      <w:pPr>
        <w:widowControl/>
        <w:pBdr>
          <w:bottom w:val="single" w:sz="6" w:space="1" w:color="auto"/>
        </w:pBdr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은</w:t>
      </w:r>
      <w:r w:rsidR="00B15197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프럭토실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트랜스페라제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활성이</w:t>
      </w:r>
      <w:r w:rsidR="00B15197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있는 효소 제제를 사용하여 합성되는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제조 공정을 기술하였습니다.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프럭토실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트랜스페라제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효소 제제는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이 비병원성 및 비 독성이라고 설명하는 Aspergillus aculeatus의 비유 전적으로 변형된 균주에서 파생됩니다.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효소 제제가 가교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폴리스티렌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디 비닐 벤젠 이온 교환 수지에 고정되어 있다고 기술하였습니다. 자당 시럽 용액은 고정화된 효소 제제를 포함하는 이</w:t>
      </w:r>
      <w:r w:rsidR="00B15197"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온</w:t>
      </w:r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교환 수지를 통과합니다. &gt; 55 %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를 포함하는 반응 컬럼의 용출액을 컬럼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크로마토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그래피로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정제하여 단당류 함량을 줄입니다. </w:t>
      </w:r>
      <w:proofErr w:type="spellStart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용액은 유기 불순물을 제거하기 위해 활성탄을 사용하여 추가로 정제됩니다. 생성된 용액을 증발시켜 농축 시럽을 생성하거나 분무 건조하여 분말을 생성합니다.</w:t>
      </w:r>
    </w:p>
    <w:p w14:paraId="0B2E2540" w14:textId="5E742CF5" w:rsidR="00B15197" w:rsidRPr="00507259" w:rsidRDefault="00B15197" w:rsidP="00B15197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1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Galam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은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scFOS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가 미국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농무부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관할 식품에 사용하기위한 것이 아니며 유아용 조제 분유에 사용하기 위한 것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 xml:space="preserve"> 또한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아니라고 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>명시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하였습니다.</w:t>
      </w:r>
    </w:p>
    <w:p w14:paraId="61B258C3" w14:textId="592B1775" w:rsidR="00C97EAA" w:rsidRPr="00263A69" w:rsidRDefault="00B15197" w:rsidP="00B15197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2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Galam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은 식품 범주 및 사용 수준이 GRN 000044 및 GRN 000605의 것과 동일하다고 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>명시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하였습니다.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Cs w:val="20"/>
        </w:rPr>
        <w:t xml:space="preserve"> </w:t>
      </w:r>
      <w:r w:rsidR="00450904">
        <w:rPr>
          <w:rFonts w:asciiTheme="majorHAnsi" w:eastAsiaTheme="majorHAnsi" w:hAnsiTheme="majorHAnsi" w:cs="굴림"/>
          <w:color w:val="000000"/>
          <w:kern w:val="0"/>
          <w:szCs w:val="20"/>
        </w:rPr>
        <w:pict w14:anchorId="6A44BCA4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97EAA" w:rsidRPr="00263A69" w14:paraId="405CA3E9" w14:textId="77777777" w:rsidTr="00C97EAA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040C68" w14:textId="77777777" w:rsidR="00C97EAA" w:rsidRPr="00263A69" w:rsidRDefault="00C97EAA" w:rsidP="00C97EA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bookmarkStart w:id="1" w:name="2"/>
            <w:r w:rsidRPr="00263A69">
              <w:rPr>
                <w:rFonts w:asciiTheme="majorHAnsi" w:eastAsiaTheme="majorHAnsi" w:hAnsiTheme="majorHAnsi" w:cs="Arial"/>
                <w:b/>
                <w:bCs/>
                <w:kern w:val="0"/>
                <w:szCs w:val="20"/>
              </w:rPr>
              <w:t>2 쪽</w:t>
            </w:r>
            <w:bookmarkEnd w:id="1"/>
          </w:p>
        </w:tc>
      </w:tr>
    </w:tbl>
    <w:p w14:paraId="3D08E8FA" w14:textId="79E637DA" w:rsidR="00C97EAA" w:rsidRPr="00263A69" w:rsidRDefault="00C97EAA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페이지 2 </w:t>
      </w:r>
    </w:p>
    <w:p w14:paraId="0B20623E" w14:textId="296CB9C0" w:rsidR="00C97EAA" w:rsidRPr="00263A69" w:rsidRDefault="002F0D6B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제조에 사용되는 원료 및 가공 보조제는 현재의 우수 제조 관행에 따라 사용되는 식품 등급 재료이며 미국 규정에 따라 식품에 사용하도록 허용되거나 각각의 용도에 대해 GRAS라고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기술하였습니다</w:t>
      </w:r>
      <w:r w:rsidR="00B15197"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.</w:t>
      </w:r>
    </w:p>
    <w:p w14:paraId="1C4765BC" w14:textId="77777777" w:rsidR="002F0D6B" w:rsidRPr="00263A69" w:rsidRDefault="002F0D6B" w:rsidP="002F0D6B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lastRenderedPageBreak/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프락토올리고당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(95 ± 2 % 건조 중량 기준), 물 (시럽의 경우 ≤ 25 %, 분말의 경우 ≤5 %), 설탕 (자당, 포도당, 과당 (건조 중량 기준 5 ± 2 %), 비소 (≤1mg / kg), 납(≤1mg / kg), 잔류 단백질 (0.01 %) 및 미생물 오염 물질 제한을 포함하는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에 대한 사양을 제출하였습니다.</w:t>
      </w:r>
    </w:p>
    <w:p w14:paraId="0AAB5CCC" w14:textId="7A16B0B0" w:rsidR="00C97EAA" w:rsidRPr="00263A69" w:rsidRDefault="002F0D6B" w:rsidP="002F0D6B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시럽 및 분말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제품의 비 연속 배치 2개에서 분석 데이터를 제공하여 이러한 사양을 준수함을 입증하였습니다.</w:t>
      </w:r>
    </w:p>
    <w:p w14:paraId="3D10AD54" w14:textId="6B3E67F3" w:rsidR="00E77465" w:rsidRPr="00263A69" w:rsidRDefault="00E77465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GRN 000044에 기반한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에 대한식이 노출 추정치를 제공합니다.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GRN 000717에 설명된 의도된 사용 수준 및 식품 범주가 GRN 000044에 설명된 것과 동일하며 피험자 인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사용에 대해 설명합니다. GRN 000717의 GRN 000044에 설명된 FOS를 대체합니다. 3 GRN 000044에 설명된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에 대한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보고된 추정치는 1994-1996 USDA Continuing Survey of Food Intakes by Personals (CSFII) 데이터를 사용하여 생성되었습니다.  2일 평균식이 섭취 데이터가 사용되었습니다. 이 데이터를 기반으로 20세 이상의 인구 집단에 대해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에 대한 평균식이 노출이 1인당 하루 4.37g (g / p / d) (60mg / kg 체중(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bw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) / d)이라고 추정합니다. 70kg 개인), 90번째 백분위 수식이 노출은 9.09g / p / d (70kg 개인의 경우 127mg / kg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bw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/ d)입니다.</w:t>
      </w:r>
    </w:p>
    <w:p w14:paraId="0B6200EB" w14:textId="4BF0A618" w:rsidR="00E77465" w:rsidRDefault="00E77465" w:rsidP="00C97EAA">
      <w:pPr>
        <w:widowControl/>
        <w:pBdr>
          <w:bottom w:val="single" w:sz="6" w:space="1" w:color="auto"/>
        </w:pBdr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GRN 000717의 주제인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의도된 사용을 지원하기 위해 동물과 인간을 대상으로 한 발표된 연구에 대해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논의하였습다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및 관련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프럭탄이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상부 위장관에서 소화에 내성이 있으며 주로 미생물 발효가 발생하는 곳에서 손상되지 않은 대장에 도달한다고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기술하였니다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발효되지 않은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대변으로 배설된다고 서술하였습니다.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간행물에서 논의되고 GRN 000044, 000537 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4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, 000605 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5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및 000623 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6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에도 인용된 생쥐 및 쥐에 대한 몇 가지 급성 및 반복 투여 독성 연구를 나열하였습니다.</w:t>
      </w:r>
    </w:p>
    <w:p w14:paraId="7C90D080" w14:textId="77777777" w:rsidR="00F774ED" w:rsidRPr="00507259" w:rsidRDefault="00F774ED" w:rsidP="00F774E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3 FOS는 GTC Nutrition Company (GTC)가 과학적 절차를 통해 FOS가 GRAS라는 견해를 FDA에 알린 GRN 000044의 주제로, 유산균 우유, 영양 바,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유아식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, 영양 음료, 비스킷, 케이크, 과자류, 쿠키, 크래커, 향이 첨가 된 우유 및 향이 첨가되지 않은 우유, 딱딱한 사탕, 아이스크림 및 냉동 요구르트, 잼 및 젤리,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머핀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, 바로 먹을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수있는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시리얼, 셔벗, 수프 및 요구르트에 적용할 원료에 대한 서신을 제출하였습니다. FDA는 이 통지를 평가하고 2000년 11월 22일자 서신에 회신하였으며, 그 당시 GTC의 GRAS 결론에 대해 이의가 없었습니다. 2007년 1월 26일에 GTC의 FOS 사용을 확대한 GTC의 보충 자료에 이어 FDA는 2007년 6월 1일에 GTC의 GRAS 결론에 대해 의문이 없다는 서신에 응답했습니다.</w:t>
      </w:r>
    </w:p>
    <w:p w14:paraId="5A9BA800" w14:textId="77777777" w:rsidR="00F774ED" w:rsidRPr="00507259" w:rsidRDefault="00F774ED" w:rsidP="00F774E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4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scFOS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는 GRN 000537의 주제였으며, 이는 FDA에 과학적 절차를 통해 유아용 조제 분유의 성분으로 사용하기 위해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scFOS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가 GRAS라는 견해를 Ingredion Incorporated (Ingredion)에 제출하였습니다.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스타터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포뮬러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(소비할 경우)에서 100 밀리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리터당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최대 400 밀리그램 (mg / 100ml)의 수준으로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scFOS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를 사용하고 후속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포뮬러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(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소비시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)에서 500mg / 100ml를 사용하도록 고안된 성분입니다. FDA는 이 통지를 평가하고 2015년 2월 6일자 서신에 응답하여 그 당시 기관은 Ingredion의 GRAS 결론에 대해 이의가 없었습니다.</w:t>
      </w:r>
    </w:p>
    <w:p w14:paraId="0CB6BCB3" w14:textId="2088EF54" w:rsidR="00F774ED" w:rsidRPr="00507259" w:rsidRDefault="00F774ED" w:rsidP="00F774E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5 FOS는 GRN 000605의 주제였으며, FOS는 과학적 절차를 통해 유산균 우유의 성분으로 사용하기위한 GRAS라는 Tata Chemicals Limited (Tata)의 견해를 FDA에 제출하였습니다. 육류, 가금류 또는 생선의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유사체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대체물; 바; 아침 시리얼; 음료 및 주스; 케이크; 치즈; 크림; 과자; 쿠키; 호두 까는 기구; 디저트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토핑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충전재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; 하드 캔디; 아이스크림; 유아용 식품 (0-12 개월); 잼과 젤리; 우유, 향미 및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무향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; 우유, 증발 및 응축;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머핀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퀵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브레드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, 소스,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그레이비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조미료; 스낵, 셔벗 및 셔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버트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; 수프; 유아용 식품 (12-24 개월); 및 0.4 내지 6.7 % 수준의 요구르트. FDA는 이 통지를 평가하고 2016년 3월 17일자 서신에 응답하여 당시 기관은 Tata의 GRAS 결론에 대해 이견이 없었습니다.</w:t>
      </w:r>
    </w:p>
    <w:p w14:paraId="25000550" w14:textId="59518055" w:rsidR="00C97EAA" w:rsidRPr="00263A69" w:rsidRDefault="00450904" w:rsidP="00F774ED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pict w14:anchorId="6A05BF56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97EAA" w:rsidRPr="00263A69" w14:paraId="6B4E5173" w14:textId="77777777" w:rsidTr="00C97EAA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D89164" w14:textId="77777777" w:rsidR="00C97EAA" w:rsidRPr="00263A69" w:rsidRDefault="00C97EAA" w:rsidP="00C97EA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bookmarkStart w:id="2" w:name="3"/>
            <w:r w:rsidRPr="00263A69">
              <w:rPr>
                <w:rFonts w:asciiTheme="majorHAnsi" w:eastAsiaTheme="majorHAnsi" w:hAnsiTheme="majorHAnsi" w:cs="Arial"/>
                <w:b/>
                <w:bCs/>
                <w:kern w:val="0"/>
                <w:szCs w:val="20"/>
              </w:rPr>
              <w:t>3 페이지</w:t>
            </w:r>
            <w:bookmarkEnd w:id="2"/>
          </w:p>
        </w:tc>
      </w:tr>
    </w:tbl>
    <w:p w14:paraId="3697A01A" w14:textId="753B225A" w:rsidR="00C97EAA" w:rsidRPr="00263A69" w:rsidRDefault="00C97EAA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페이지 3 </w:t>
      </w:r>
    </w:p>
    <w:p w14:paraId="794397CE" w14:textId="77777777" w:rsidR="00263A69" w:rsidRPr="00263A69" w:rsidRDefault="00263A69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lastRenderedPageBreak/>
        <w:t xml:space="preserve">GRN 000044에서 논의되고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이 인용한 90 일 간의 연구에서 최대 20,400 mg / kg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bw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/ d 수준에서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를 섭취한 쥐에서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독성학적으로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관련된 영향이 없었습니다. 수컷과 암컷 쥐를 대상으로 발표 된 104 주간의 만성 연구에서 각각 2,170 mg / kg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bw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/ d의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의식이 투여는 잘 견뎌냈습니다.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또한 인간을 대상으로 한 내성 연구를 발표했습니다.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인간 연구에서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독성학적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관련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효과가보고되지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않았다고 진술하였습니다.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2016년 10월까지 어린이와 성인의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내성과 관련된 새로운 데이터와 정보를 확인하기 위해 포괄적인 문헌 검색을 수행했다고 보고하였습니다.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그들의 검색이 어린이를 대상으로 한 연구와 성인을 대상으로 한 5개의 연구를 확인했다고 기술하였습니다.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이러한 연구의 결과가 현재의 안전성 결론과 모순되지 않는다고 진술하였습니다. </w:t>
      </w:r>
    </w:p>
    <w:p w14:paraId="083741EA" w14:textId="199248CD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에는 개인 패널 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GRAS 패널) 보고서가 포함되어 있습니다. 검토 결과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GRAS 패널은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의도된 사용 조건에서 안전하다고 결론지었습니다. 위에 요약된 데이터와 정보를 바탕으로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의도된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용도를위한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GRAS라는 결론을 내렸습니다.</w:t>
      </w:r>
    </w:p>
    <w:p w14:paraId="4AE8665B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</w:p>
    <w:p w14:paraId="50AB7B50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b/>
          <w:bCs/>
          <w:color w:val="231F20"/>
          <w:kern w:val="0"/>
          <w:szCs w:val="20"/>
        </w:rPr>
        <w:t>표준</w:t>
      </w: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 정의</w:t>
      </w:r>
    </w:p>
    <w:p w14:paraId="039B77EC" w14:textId="1321FA76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통지에서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연방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규정집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타이틀 21에있는 정체성 표준이 존재하는 식품을 포함하여 여러 식품 범주에서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를 사용할 의도를 명시하였습니다. 식품에 합법적으로 첨가되는 성분은 해당 표준에 따라 허용되는 경우에만 표준화된 식품에 사용될 수 있습니다. </w:t>
      </w:r>
    </w:p>
    <w:p w14:paraId="7834FB6F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b/>
          <w:bCs/>
          <w:color w:val="231F20"/>
          <w:kern w:val="0"/>
          <w:szCs w:val="20"/>
        </w:rPr>
        <w:t>잠재적인</w:t>
      </w: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>라벨링</w:t>
      </w:r>
      <w:proofErr w:type="spellEnd"/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 xml:space="preserve"> 문제</w:t>
      </w:r>
    </w:p>
    <w:p w14:paraId="5BAF8518" w14:textId="77777777" w:rsidR="00263A69" w:rsidRPr="00263A69" w:rsidRDefault="00263A69" w:rsidP="00263A69">
      <w:pPr>
        <w:widowControl/>
        <w:pBdr>
          <w:bottom w:val="single" w:sz="6" w:space="1" w:color="auto"/>
        </w:pBdr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연방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식품, 의약품 및 화장품법 (FD &amp; C Act)의 섹션 403 (a)에 따라 라벨이 허위이거나 어떤 식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으로든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오해의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소지가있는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식품은 브랜드가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오기재됩니다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. FD &amp; C 법의 섹션 403 (r)은 식품의 영양소 수준 또는 영양소와 질병 또는 건강 관련 상태의 관계를 특징 짓는 클레임 ​​표시에 대한 법적 프레임 워크를 제시하였습니다(영양소 함량 클레임 및 건강 클레임이라고도 함). 통지는 이러한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라벨링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조항에 따라 잠재적인 문제를 명시하고 있습니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다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.</w:t>
      </w:r>
    </w:p>
    <w:p w14:paraId="3491575E" w14:textId="7A562302" w:rsidR="00C97EAA" w:rsidRPr="00507259" w:rsidRDefault="00263A69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</w:pP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6 FOS는 GRN 000623의 주제로, FOS는 과학적 절차를 통해 육류, 가금류 및 생선 대체품을 포함한 기존 식품의 성분으로 사용하기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 xml:space="preserve"> 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위한 GRAS라는 New Francisco Biotechnology Corporation (NFBC)의 견해를 FDA에 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>제출하였습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니다. ; 영양 바; 아침 시리얼; 음료 및 주스; 케이크; 치즈; 크림; 과자; 쿠키; 호두 까는 기구; 디저트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토핑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충전재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; 하드 캔디; 아이스크림; 유아용 식품; 잼과 젤리; 우유 (acidophilus, 향미 및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무향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, 증발 및 응축);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머핀과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빠른 빵; 소스, </w:t>
      </w:r>
      <w:proofErr w:type="spellStart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그레이비</w:t>
      </w:r>
      <w:proofErr w:type="spellEnd"/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 및 조미료; 간식 셔벗과 셔벗; 수프; 유아 (12-24 개월) 식품; 및 0.4 내지 6.7 % 범위의 수준의 요구르트. FDA는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 xml:space="preserve"> 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 xml:space="preserve">이 통지를 평가하고 2016년 8월 1일자 서신에 회신하여 당시 FDA는 NFBC의 GRAS 결론에 대해 </w:t>
      </w:r>
      <w:r w:rsidRPr="00507259">
        <w:rPr>
          <w:rFonts w:asciiTheme="majorHAnsi" w:eastAsiaTheme="majorHAnsi" w:hAnsiTheme="majorHAnsi" w:cs="Times" w:hint="eastAsia"/>
          <w:color w:val="808080" w:themeColor="background1" w:themeShade="80"/>
          <w:kern w:val="0"/>
          <w:sz w:val="16"/>
          <w:szCs w:val="16"/>
        </w:rPr>
        <w:t>이견</w:t>
      </w:r>
      <w:r w:rsidRPr="00507259">
        <w:rPr>
          <w:rFonts w:asciiTheme="majorHAnsi" w:eastAsiaTheme="majorHAnsi" w:hAnsiTheme="majorHAnsi" w:cs="Times"/>
          <w:color w:val="808080" w:themeColor="background1" w:themeShade="80"/>
          <w:kern w:val="0"/>
          <w:sz w:val="16"/>
          <w:szCs w:val="16"/>
        </w:rPr>
        <w:t>이 없었습니다.</w:t>
      </w:r>
    </w:p>
    <w:p w14:paraId="46D18345" w14:textId="77777777" w:rsidR="00C97EAA" w:rsidRPr="00263A69" w:rsidRDefault="00450904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pict w14:anchorId="798A2553"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97EAA" w:rsidRPr="00263A69" w14:paraId="6965DBC7" w14:textId="77777777" w:rsidTr="00C97EAA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A5CAE6" w14:textId="77777777" w:rsidR="00C97EAA" w:rsidRPr="00263A69" w:rsidRDefault="00C97EAA" w:rsidP="00C97EA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bookmarkStart w:id="3" w:name="4"/>
            <w:r w:rsidRPr="00263A69">
              <w:rPr>
                <w:rFonts w:asciiTheme="majorHAnsi" w:eastAsiaTheme="majorHAnsi" w:hAnsiTheme="majorHAnsi" w:cs="Arial"/>
                <w:b/>
                <w:bCs/>
                <w:kern w:val="0"/>
                <w:szCs w:val="20"/>
              </w:rPr>
              <w:t>4 페이지</w:t>
            </w:r>
            <w:bookmarkEnd w:id="3"/>
          </w:p>
        </w:tc>
      </w:tr>
    </w:tbl>
    <w:p w14:paraId="03AD55CF" w14:textId="0FF997A4" w:rsidR="00C97EAA" w:rsidRPr="00263A69" w:rsidRDefault="00C97EAA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페이지 4 </w:t>
      </w:r>
    </w:p>
    <w:p w14:paraId="5E343E62" w14:textId="43499BAE" w:rsidR="00263A69" w:rsidRPr="00263A69" w:rsidRDefault="00263A69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통지에서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가 특정 건강상의 이점이 있다고 설명하는 연구를 인용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하였습니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다.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가 포함된 제품이 라벨 또는 라벨에 영양 성분 또는 건강 표시가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있는 경우 해당 요구 사항의 적용을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받으며 식품 안전 및 응용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영양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센터의 영양 및 식품 표시 사무소(ONFL)의 권한에 따릅니다. 식품 첨가물 안전국은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이 문제에 대해 ONFL과 협의하지 않았으며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라벨링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주장과 관련하여 어떠한 정보도 평가하지 않았습니다. 식품 라벨링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과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관련된 질문은 ONFL에 직접 문의해야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합니다. </w:t>
      </w:r>
    </w:p>
    <w:p w14:paraId="559E0F74" w14:textId="77777777" w:rsidR="00263A69" w:rsidRPr="00263A69" w:rsidRDefault="00263A69" w:rsidP="00C97EAA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</w:p>
    <w:p w14:paraId="38F0B18C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>FD &amp; C 법 섹션 301 (</w:t>
      </w:r>
      <w:proofErr w:type="spellStart"/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>ll</w:t>
      </w:r>
      <w:proofErr w:type="spellEnd"/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>)</w:t>
      </w:r>
    </w:p>
    <w:p w14:paraId="04D80D06" w14:textId="1BFFA256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lastRenderedPageBreak/>
        <w:t>FD &amp; C 법의 섹션 301 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ll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)은 FD &amp; C 법의 섹션 505에 따라 승인된 약품, 공중 보건 서비스 법의 섹션 351에 따라 라이센스가 부여된 생물학적 제품을 포함하는 모든 식품의 주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별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상업 도입을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위한 도입 또는 인도를 금지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하고 </w:t>
      </w:r>
      <w:proofErr w:type="spellStart"/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있습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다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. 301 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ll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) (1)-(4) 항의 면제 중 하나가 적용되지 않는 한, 실질적인 임상 조사가 시작되고 그 존재가 공개된 의약품 또는 생물학적 제품.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의도된 사용 조건 하에서 GRAS라고 결론을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내리는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의 통지를 평가할 때, 우리는 301 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ll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) 조 또는 그 면제가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포함된 식품에 적용되는지 여부를 고려하지 않았습니다. 따라서, 우리의 응답은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가 포함된 식품이 주 간 상업에 도입되거나 도입되는 경우 섹션 301 (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ll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)을 위반하지 않을 것이라는 진술로 해석되어서는 안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됩니다</w:t>
      </w:r>
      <w:r w:rsidRPr="00263A69"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  <w:t>.</w:t>
      </w:r>
    </w:p>
    <w:p w14:paraId="6F784564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b/>
          <w:bCs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 w:hint="eastAsia"/>
          <w:b/>
          <w:bCs/>
          <w:color w:val="231F20"/>
          <w:kern w:val="0"/>
          <w:szCs w:val="20"/>
        </w:rPr>
        <w:t>결론</w:t>
      </w:r>
    </w:p>
    <w:p w14:paraId="740AFF97" w14:textId="6A4F15DC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이 제공 한 정보와 FDA에서 사용할 수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있는 기타 정보를 기반으로 현재로서는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가 의도된 사용 조건에서 GRAS라는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Galam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의 결론에 대해 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이의가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없습니다. 이 편지는 </w:t>
      </w:r>
      <w:proofErr w:type="spellStart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scFOS</w:t>
      </w:r>
      <w:proofErr w:type="spellEnd"/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가 21 CFR 170.35에 따라 GRAS임을 확인하는 것이 아닙니다. 위에서 언급하지 않는 한, 우리의 검토는 FD &amp; C 법의 다른 조항을 다루지 않았습니다. 식품 재료 제조업체와 식품 생산자는 시판되는 제품이 안전하고 적용 가능한 모든 법적 및 규제 요건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>을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 xml:space="preserve"> 준수하는지 확인할 책임이 있습니다.</w:t>
      </w:r>
    </w:p>
    <w:p w14:paraId="4CE5C34D" w14:textId="45815813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21 CFR 170.275 (b) (2)에 따라 GRN 000717에 응답하는</w:t>
      </w:r>
      <w:r w:rsidRPr="00263A69">
        <w:rPr>
          <w:rFonts w:asciiTheme="majorHAnsi" w:eastAsiaTheme="majorHAnsi" w:hAnsiTheme="majorHAnsi" w:cs="Times" w:hint="eastAsia"/>
          <w:color w:val="231F20"/>
          <w:kern w:val="0"/>
          <w:szCs w:val="20"/>
        </w:rPr>
        <w:t xml:space="preserve"> </w:t>
      </w:r>
      <w:r w:rsidRPr="00263A69">
        <w:rPr>
          <w:rFonts w:asciiTheme="majorHAnsi" w:eastAsiaTheme="majorHAnsi" w:hAnsiTheme="majorHAnsi" w:cs="Times"/>
          <w:color w:val="231F20"/>
          <w:kern w:val="0"/>
          <w:szCs w:val="20"/>
        </w:rPr>
        <w:t>이 서신의 텍스트는 www.fda.gov/grasnoticeinventory에서 일반인이 액세스 할 수 있습니다.</w:t>
      </w:r>
    </w:p>
    <w:p w14:paraId="0E1CA0EE" w14:textId="77777777" w:rsidR="00263A69" w:rsidRPr="00263A69" w:rsidRDefault="00263A69" w:rsidP="00263A69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Times"/>
          <w:color w:val="231F20"/>
          <w:kern w:val="0"/>
          <w:szCs w:val="20"/>
        </w:rPr>
      </w:pPr>
    </w:p>
    <w:p w14:paraId="38395C0E" w14:textId="060EDFD0" w:rsidR="00D00B42" w:rsidRPr="00263A69" w:rsidRDefault="00263A69" w:rsidP="00263A69">
      <w:pPr>
        <w:rPr>
          <w:rFonts w:asciiTheme="majorHAnsi" w:eastAsiaTheme="majorHAnsi" w:hAnsiTheme="majorHAnsi"/>
          <w:szCs w:val="20"/>
        </w:rPr>
      </w:pPr>
      <w:r w:rsidRPr="00263A69">
        <w:rPr>
          <w:rFonts w:asciiTheme="majorHAnsi" w:eastAsiaTheme="majorHAnsi" w:hAnsiTheme="majorHAnsi"/>
          <w:szCs w:val="20"/>
        </w:rPr>
        <w:t>(</w:t>
      </w:r>
      <w:r w:rsidRPr="00263A69">
        <w:rPr>
          <w:rFonts w:asciiTheme="majorHAnsi" w:eastAsiaTheme="majorHAnsi" w:hAnsiTheme="majorHAnsi" w:hint="eastAsia"/>
          <w:szCs w:val="20"/>
        </w:rPr>
        <w:t>서명 생략)</w:t>
      </w:r>
    </w:p>
    <w:sectPr w:rsidR="00D00B42" w:rsidRPr="00263A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AA"/>
    <w:rsid w:val="00263A69"/>
    <w:rsid w:val="002F0D6B"/>
    <w:rsid w:val="0043454D"/>
    <w:rsid w:val="00450904"/>
    <w:rsid w:val="00507259"/>
    <w:rsid w:val="00B15197"/>
    <w:rsid w:val="00C97EAA"/>
    <w:rsid w:val="00D00B42"/>
    <w:rsid w:val="00E77465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6B37"/>
  <w15:chartTrackingRefBased/>
  <w15:docId w15:val="{83F5643B-38DD-4DA3-8AF2-5B850DCD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EAA"/>
    <w:rPr>
      <w:color w:val="0000FF"/>
      <w:u w:val="single"/>
    </w:rPr>
  </w:style>
  <w:style w:type="paragraph" w:customStyle="1" w:styleId="Default">
    <w:name w:val="Default"/>
    <w:rsid w:val="0043454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eorgia" w:hAnsi="Georgia" w:cs="Georgia"/>
      <w:color w:val="000000"/>
      <w:kern w:val="0"/>
      <w:sz w:val="24"/>
      <w:szCs w:val="24"/>
      <w:lang w:bidi="he-IL"/>
    </w:rPr>
  </w:style>
  <w:style w:type="paragraph" w:customStyle="1" w:styleId="CM1">
    <w:name w:val="CM1"/>
    <w:basedOn w:val="Default"/>
    <w:next w:val="Default"/>
    <w:uiPriority w:val="99"/>
    <w:rsid w:val="0043454D"/>
    <w:pPr>
      <w:spacing w:line="273" w:lineRule="atLeast"/>
    </w:pPr>
    <w:rPr>
      <w:rFonts w:cstheme="minorBidi"/>
      <w:color w:val="auto"/>
    </w:rPr>
  </w:style>
  <w:style w:type="character" w:customStyle="1" w:styleId="jlqj4b">
    <w:name w:val="jlqj4b"/>
    <w:basedOn w:val="a0"/>
    <w:rsid w:val="0043454D"/>
  </w:style>
  <w:style w:type="character" w:customStyle="1" w:styleId="viiyi">
    <w:name w:val="viiyi"/>
    <w:basedOn w:val="a0"/>
    <w:rsid w:val="002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Hyunkyung</dc:creator>
  <cp:keywords/>
  <dc:description/>
  <cp:lastModifiedBy>Lee Hyunkyung</cp:lastModifiedBy>
  <cp:revision>4</cp:revision>
  <dcterms:created xsi:type="dcterms:W3CDTF">2020-05-18T08:19:00Z</dcterms:created>
  <dcterms:modified xsi:type="dcterms:W3CDTF">2021-02-25T03:18:00Z</dcterms:modified>
</cp:coreProperties>
</file>